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F" w:rsidRDefault="00AE270F" w:rsidP="002F67A7">
      <w:pPr>
        <w:rPr>
          <w:rFonts w:ascii="Baskerville Old Face" w:hAnsi="Baskerville Old Face" w:cs="Aharoni"/>
          <w:b/>
          <w:sz w:val="40"/>
        </w:rPr>
      </w:pPr>
      <w:bookmarkStart w:id="0" w:name="_GoBack"/>
      <w:bookmarkEnd w:id="0"/>
    </w:p>
    <w:p w:rsidR="002F67A7" w:rsidRPr="00F34B6E" w:rsidRDefault="008A47F1" w:rsidP="001A3217">
      <w:pPr>
        <w:jc w:val="center"/>
        <w:rPr>
          <w:rFonts w:ascii="Bodoni MT" w:hAnsi="Bodoni MT" w:cs="Aharoni"/>
          <w:b/>
          <w:sz w:val="72"/>
        </w:rPr>
      </w:pPr>
      <w:r w:rsidRPr="00AE270F">
        <w:rPr>
          <w:rFonts w:ascii="Baskerville Old Face" w:hAnsi="Baskerville Old Face" w:cs="Aharoni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7906338" wp14:editId="493B1590">
            <wp:simplePos x="0" y="0"/>
            <wp:positionH relativeFrom="column">
              <wp:posOffset>-12065</wp:posOffset>
            </wp:positionH>
            <wp:positionV relativeFrom="paragraph">
              <wp:posOffset>75565</wp:posOffset>
            </wp:positionV>
            <wp:extent cx="2923200" cy="1846800"/>
            <wp:effectExtent l="19050" t="19050" r="10795" b="203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91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5" t="33970" r="8528" b="25738"/>
                    <a:stretch/>
                  </pic:blipFill>
                  <pic:spPr bwMode="auto">
                    <a:xfrm>
                      <a:off x="0" y="0"/>
                      <a:ext cx="2923200" cy="1846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7A7" w:rsidRPr="00F34B6E">
        <w:rPr>
          <w:rFonts w:ascii="Bodoni MT" w:hAnsi="Bodoni MT" w:cs="Aharoni"/>
          <w:b/>
          <w:sz w:val="72"/>
        </w:rPr>
        <w:t>Coetzee’s Other Arts</w:t>
      </w:r>
    </w:p>
    <w:p w:rsidR="00AE270F" w:rsidRPr="008A47F1" w:rsidRDefault="00AE270F" w:rsidP="00AE270F">
      <w:pPr>
        <w:jc w:val="center"/>
        <w:rPr>
          <w:rFonts w:asciiTheme="majorHAnsi" w:hAnsiTheme="majorHAnsi" w:cs="Aharoni"/>
        </w:rPr>
      </w:pPr>
      <w:r w:rsidRPr="008A47F1">
        <w:rPr>
          <w:rFonts w:asciiTheme="majorHAnsi" w:hAnsiTheme="majorHAnsi" w:cs="Aharoni"/>
        </w:rPr>
        <w:t>University of the Western Cape</w:t>
      </w:r>
    </w:p>
    <w:p w:rsidR="002F67A7" w:rsidRPr="008A47F1" w:rsidRDefault="00083B24" w:rsidP="00AE270F">
      <w:pPr>
        <w:jc w:val="center"/>
        <w:rPr>
          <w:rFonts w:asciiTheme="majorHAnsi" w:hAnsiTheme="majorHAnsi" w:cs="Aharoni"/>
        </w:rPr>
      </w:pPr>
      <w:r w:rsidRPr="008A47F1">
        <w:rPr>
          <w:rFonts w:asciiTheme="majorHAnsi" w:hAnsiTheme="majorHAnsi" w:cs="Aharoni"/>
        </w:rPr>
        <w:t xml:space="preserve">18 </w:t>
      </w:r>
      <w:r w:rsidR="002F67A7" w:rsidRPr="008A47F1">
        <w:rPr>
          <w:rFonts w:asciiTheme="majorHAnsi" w:hAnsiTheme="majorHAnsi" w:cs="Aharoni"/>
        </w:rPr>
        <w:t>July 2016</w:t>
      </w:r>
    </w:p>
    <w:p w:rsid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9.15 Welcome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9.30-10.30 Creative Activities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Sam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Durrant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(Leeds), ‘Animist materialism, creaturely mimesis and the work of inheritance.’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Eckard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Smuts (Stellenbosch), ‘"Activities with no parallel in the rest of creation": J.M. Coetzee and Sport.’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Tea and coffee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10.45-1.00 Visual Arts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Marie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Herbillon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(University of Liège, Belgium), ‘Coetzee and photography: The case of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Slow Man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>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Hermann Wittenberg (UWC), ‘Scenes from Provincial Life: The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Boyhood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Photographs.’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Meg Samuelson (UCT), ‘Lessons in reading: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Wicomb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—Coetzee—Barthes and the figure of the photograph.’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Iona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Gilburt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(UWC), ‘Scenes from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In the Heart of the Country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>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Lunch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2.00-4.15 Coetzee on Stage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Kareesha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Naidoo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 (UWC), 'The Theatrical Adaptations of J.M. Coetzee's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Foe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>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Mathilde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Rogez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(Toulouse), ‘“[H]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er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limbs crumple like a marionette’s”: Staging female bodies and narrative frames in J.M. Coetzee’s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Disgrace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.’ 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Michelle Kelly (Oxford), ‘The Wooden Man: Grace in J. M. Coetzee’s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Scenes from Provincial Life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.’ 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Anthony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Uhlmann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(Western Sydney University), ‘Performance as Provocation: Around </w:t>
      </w:r>
      <w:r w:rsidRPr="008A47F1">
        <w:rPr>
          <w:rFonts w:ascii="Cambria" w:eastAsia="MS Mincho" w:hAnsi="Cambria" w:cs="Times New Roman"/>
          <w:i/>
          <w:sz w:val="24"/>
          <w:szCs w:val="24"/>
          <w:lang w:val="en-US"/>
        </w:rPr>
        <w:t>Diary of a Bad Year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>, the diary, the opinion piece, the Socratic dialogue, the monologue, the commentary.’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Break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4.30-5.30 Creating with Coetzee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>Nicholas Lens (Composer) TBC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Francois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Verster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(Filmmaker)</w:t>
      </w: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A47F1" w:rsidRPr="008A47F1" w:rsidRDefault="008A47F1" w:rsidP="008A47F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8A47F1">
        <w:rPr>
          <w:rFonts w:ascii="Cambria" w:eastAsia="MS Mincho" w:hAnsi="Cambria" w:cs="Times New Roman"/>
          <w:b/>
          <w:sz w:val="24"/>
          <w:szCs w:val="24"/>
          <w:lang w:val="en-US"/>
        </w:rPr>
        <w:t>Concluding remarks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: </w:t>
      </w:r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David </w:t>
      </w:r>
      <w:proofErr w:type="spellStart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>Attwell</w:t>
      </w:r>
      <w:proofErr w:type="spellEnd"/>
      <w:r w:rsidRPr="008A47F1">
        <w:rPr>
          <w:rFonts w:ascii="Cambria" w:eastAsia="MS Mincho" w:hAnsi="Cambria" w:cs="Times New Roman"/>
          <w:sz w:val="24"/>
          <w:szCs w:val="24"/>
          <w:lang w:val="en-US"/>
        </w:rPr>
        <w:t xml:space="preserve"> (York)</w:t>
      </w:r>
    </w:p>
    <w:p w:rsidR="008A47F1" w:rsidRPr="008A47F1" w:rsidRDefault="008A47F1" w:rsidP="007A5482">
      <w:pPr>
        <w:jc w:val="both"/>
        <w:rPr>
          <w:sz w:val="20"/>
        </w:rPr>
      </w:pPr>
    </w:p>
    <w:sectPr w:rsidR="008A47F1" w:rsidRPr="008A47F1" w:rsidSect="008A47F1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7"/>
    <w:rsid w:val="00083B24"/>
    <w:rsid w:val="001A3217"/>
    <w:rsid w:val="00256C03"/>
    <w:rsid w:val="002F67A7"/>
    <w:rsid w:val="004C6C30"/>
    <w:rsid w:val="005B389F"/>
    <w:rsid w:val="006409AF"/>
    <w:rsid w:val="006F5B4A"/>
    <w:rsid w:val="007A5482"/>
    <w:rsid w:val="008A47F1"/>
    <w:rsid w:val="009B1A65"/>
    <w:rsid w:val="00A3446C"/>
    <w:rsid w:val="00AE270F"/>
    <w:rsid w:val="00DF300D"/>
    <w:rsid w:val="00E43174"/>
    <w:rsid w:val="00E47F67"/>
    <w:rsid w:val="00F227C2"/>
    <w:rsid w:val="00F34B6E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Kelly</dc:creator>
  <cp:lastModifiedBy>Carrol Clarkson</cp:lastModifiedBy>
  <cp:revision>2</cp:revision>
  <dcterms:created xsi:type="dcterms:W3CDTF">2016-07-01T20:45:00Z</dcterms:created>
  <dcterms:modified xsi:type="dcterms:W3CDTF">2016-07-01T20:45:00Z</dcterms:modified>
</cp:coreProperties>
</file>